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37EB5" w14:textId="7260465D" w:rsidR="004C0DCB" w:rsidRDefault="004C0DCB" w:rsidP="00104002">
      <w:pPr>
        <w:jc w:val="center"/>
        <w:rPr>
          <w:b/>
          <w:bCs/>
        </w:rPr>
      </w:pPr>
      <w:r>
        <w:rPr>
          <w:b/>
          <w:bCs/>
          <w:noProof/>
        </w:rPr>
        <w:drawing>
          <wp:inline distT="0" distB="0" distL="0" distR="0" wp14:anchorId="6E463890" wp14:editId="55163C7C">
            <wp:extent cx="3001027" cy="1095375"/>
            <wp:effectExtent l="0" t="0" r="889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54271" cy="1114809"/>
                    </a:xfrm>
                    <a:prstGeom prst="rect">
                      <a:avLst/>
                    </a:prstGeom>
                  </pic:spPr>
                </pic:pic>
              </a:graphicData>
            </a:graphic>
          </wp:inline>
        </w:drawing>
      </w:r>
    </w:p>
    <w:p w14:paraId="441B3175" w14:textId="7D462FE5" w:rsidR="004C0DCB" w:rsidRPr="00DC7508" w:rsidRDefault="00104002" w:rsidP="006F2216">
      <w:pPr>
        <w:spacing w:line="240" w:lineRule="auto"/>
        <w:jc w:val="center"/>
        <w:rPr>
          <w:rFonts w:ascii="Arial" w:hAnsi="Arial" w:cs="Arial"/>
          <w:b/>
          <w:color w:val="262626" w:themeColor="text1" w:themeTint="D9"/>
          <w:sz w:val="24"/>
          <w:szCs w:val="24"/>
        </w:rPr>
      </w:pPr>
      <w:r w:rsidRPr="00DC7508">
        <w:rPr>
          <w:rFonts w:ascii="Arial" w:hAnsi="Arial" w:cs="Arial"/>
          <w:b/>
          <w:color w:val="262626" w:themeColor="text1" w:themeTint="D9"/>
          <w:sz w:val="24"/>
          <w:szCs w:val="24"/>
        </w:rPr>
        <w:t>Mental Health Plan Coverages offered by the State of Oklahoma</w:t>
      </w:r>
    </w:p>
    <w:p w14:paraId="3EE9AAD2" w14:textId="77777777" w:rsidR="006F2216" w:rsidRPr="00DC7508" w:rsidRDefault="006F2216" w:rsidP="006F2216">
      <w:pPr>
        <w:spacing w:line="240" w:lineRule="auto"/>
        <w:rPr>
          <w:rFonts w:ascii="Arial" w:hAnsi="Arial" w:cs="Arial"/>
          <w:b/>
          <w:color w:val="262626" w:themeColor="text1" w:themeTint="D9"/>
          <w:sz w:val="23"/>
          <w:szCs w:val="23"/>
        </w:rPr>
      </w:pPr>
    </w:p>
    <w:p w14:paraId="1B9EB065" w14:textId="49163239" w:rsidR="003F0B37" w:rsidRPr="00DC7508" w:rsidRDefault="00104002" w:rsidP="006F2216">
      <w:pPr>
        <w:spacing w:line="276" w:lineRule="auto"/>
        <w:rPr>
          <w:rFonts w:ascii="Arial" w:hAnsi="Arial" w:cs="Arial"/>
          <w:color w:val="262626" w:themeColor="text1" w:themeTint="D9"/>
          <w:sz w:val="23"/>
          <w:szCs w:val="23"/>
        </w:rPr>
      </w:pPr>
      <w:r w:rsidRPr="00DC7508">
        <w:rPr>
          <w:rFonts w:ascii="Arial" w:hAnsi="Arial" w:cs="Arial"/>
          <w:b/>
          <w:color w:val="262626" w:themeColor="text1" w:themeTint="D9"/>
          <w:sz w:val="23"/>
          <w:szCs w:val="23"/>
        </w:rPr>
        <w:t>Summary</w:t>
      </w:r>
    </w:p>
    <w:p w14:paraId="38D39565" w14:textId="05054BF9" w:rsidR="00AC6884" w:rsidRPr="00DC7508" w:rsidRDefault="006F2216" w:rsidP="006F2216">
      <w:pPr>
        <w:pStyle w:val="NormalWeb"/>
        <w:numPr>
          <w:ilvl w:val="0"/>
          <w:numId w:val="2"/>
        </w:numPr>
        <w:spacing w:line="276" w:lineRule="auto"/>
        <w:rPr>
          <w:rFonts w:ascii="Arial" w:hAnsi="Arial" w:cs="Arial"/>
          <w:color w:val="262626" w:themeColor="text1" w:themeTint="D9"/>
          <w:sz w:val="23"/>
          <w:szCs w:val="23"/>
        </w:rPr>
      </w:pPr>
      <w:r w:rsidRPr="00DC7508">
        <w:rPr>
          <w:rFonts w:ascii="Arial" w:hAnsi="Arial" w:cs="Arial"/>
          <w:color w:val="262626" w:themeColor="text1" w:themeTint="D9"/>
          <w:sz w:val="23"/>
          <w:szCs w:val="23"/>
        </w:rPr>
        <w:t>All health insurance options offered by the State of Oklahoma for employees include mental health and substance abuse coverage</w:t>
      </w:r>
      <w:r w:rsidR="00DC7508">
        <w:rPr>
          <w:rFonts w:ascii="Arial" w:hAnsi="Arial" w:cs="Arial"/>
          <w:color w:val="262626" w:themeColor="text1" w:themeTint="D9"/>
          <w:sz w:val="23"/>
          <w:szCs w:val="23"/>
        </w:rPr>
        <w:t>, including</w:t>
      </w:r>
      <w:r w:rsidR="00DC7508" w:rsidRPr="00DC7508">
        <w:rPr>
          <w:rFonts w:ascii="Arial" w:hAnsi="Arial" w:cs="Arial"/>
          <w:color w:val="262626" w:themeColor="text1" w:themeTint="D9"/>
          <w:sz w:val="23"/>
          <w:szCs w:val="23"/>
        </w:rPr>
        <w:t xml:space="preserve"> </w:t>
      </w:r>
      <w:r w:rsidR="00DC7508">
        <w:rPr>
          <w:rFonts w:ascii="Arial" w:hAnsi="Arial" w:cs="Arial"/>
          <w:color w:val="262626" w:themeColor="text1" w:themeTint="D9"/>
          <w:sz w:val="23"/>
          <w:szCs w:val="23"/>
        </w:rPr>
        <w:t xml:space="preserve">the diagnosis of </w:t>
      </w:r>
      <w:r w:rsidR="00DC7508" w:rsidRPr="00DC7508">
        <w:rPr>
          <w:rFonts w:ascii="Arial" w:hAnsi="Arial" w:cs="Arial"/>
          <w:color w:val="262626" w:themeColor="text1" w:themeTint="D9"/>
          <w:sz w:val="23"/>
          <w:szCs w:val="23"/>
        </w:rPr>
        <w:t>Post-Traumatic Stress Disorder</w:t>
      </w:r>
      <w:r w:rsidR="00DC7508">
        <w:rPr>
          <w:rFonts w:ascii="Arial" w:hAnsi="Arial" w:cs="Arial"/>
          <w:color w:val="262626" w:themeColor="text1" w:themeTint="D9"/>
          <w:sz w:val="23"/>
          <w:szCs w:val="23"/>
        </w:rPr>
        <w:t xml:space="preserve"> (PTSD)</w:t>
      </w:r>
      <w:r w:rsidRPr="00DC7508">
        <w:rPr>
          <w:rFonts w:ascii="Arial" w:hAnsi="Arial" w:cs="Arial"/>
          <w:color w:val="262626" w:themeColor="text1" w:themeTint="D9"/>
          <w:sz w:val="23"/>
          <w:szCs w:val="23"/>
        </w:rPr>
        <w:t xml:space="preserve">. While each plan is unique in its product offering and limits, there remains </w:t>
      </w:r>
      <w:r w:rsidR="00DC7508">
        <w:rPr>
          <w:rFonts w:ascii="Arial" w:hAnsi="Arial" w:cs="Arial"/>
          <w:color w:val="262626" w:themeColor="text1" w:themeTint="D9"/>
          <w:sz w:val="23"/>
          <w:szCs w:val="23"/>
        </w:rPr>
        <w:t>consistent access to</w:t>
      </w:r>
      <w:r w:rsidRPr="00DC7508">
        <w:rPr>
          <w:rFonts w:ascii="Arial" w:hAnsi="Arial" w:cs="Arial"/>
          <w:color w:val="262626" w:themeColor="text1" w:themeTint="D9"/>
          <w:sz w:val="23"/>
          <w:szCs w:val="23"/>
        </w:rPr>
        <w:t xml:space="preserve"> coverage across </w:t>
      </w:r>
      <w:r w:rsidR="00DC7508">
        <w:rPr>
          <w:rFonts w:ascii="Arial" w:hAnsi="Arial" w:cs="Arial"/>
          <w:color w:val="262626" w:themeColor="text1" w:themeTint="D9"/>
          <w:sz w:val="23"/>
          <w:szCs w:val="23"/>
        </w:rPr>
        <w:t>all available plans</w:t>
      </w:r>
      <w:r w:rsidRPr="00DC7508">
        <w:rPr>
          <w:rFonts w:ascii="Arial" w:hAnsi="Arial" w:cs="Arial"/>
          <w:color w:val="262626" w:themeColor="text1" w:themeTint="D9"/>
          <w:sz w:val="23"/>
          <w:szCs w:val="23"/>
        </w:rPr>
        <w:t xml:space="preserve">. </w:t>
      </w:r>
      <w:r w:rsidR="00C751D2" w:rsidRPr="00DC7508">
        <w:rPr>
          <w:rFonts w:ascii="Arial" w:hAnsi="Arial" w:cs="Arial"/>
          <w:b/>
          <w:bCs/>
          <w:color w:val="262626" w:themeColor="text1" w:themeTint="D9"/>
          <w:sz w:val="23"/>
          <w:szCs w:val="23"/>
        </w:rPr>
        <w:t xml:space="preserve"> </w:t>
      </w:r>
      <w:r w:rsidR="00191980" w:rsidRPr="00DC7508">
        <w:rPr>
          <w:rFonts w:ascii="Arial" w:hAnsi="Arial" w:cs="Arial"/>
          <w:b/>
          <w:bCs/>
          <w:color w:val="262626" w:themeColor="text1" w:themeTint="D9"/>
          <w:sz w:val="23"/>
          <w:szCs w:val="23"/>
        </w:rPr>
        <w:t xml:space="preserve"> </w:t>
      </w:r>
    </w:p>
    <w:p w14:paraId="234C918D" w14:textId="0EC551B8" w:rsidR="0009427C" w:rsidRPr="00DC7508" w:rsidRDefault="006F2216" w:rsidP="006F2216">
      <w:pPr>
        <w:spacing w:line="276" w:lineRule="auto"/>
        <w:rPr>
          <w:rFonts w:ascii="Arial" w:hAnsi="Arial" w:cs="Arial"/>
          <w:color w:val="262626" w:themeColor="text1" w:themeTint="D9"/>
          <w:sz w:val="23"/>
          <w:szCs w:val="23"/>
        </w:rPr>
      </w:pPr>
      <w:r w:rsidRPr="00DC7508">
        <w:rPr>
          <w:rFonts w:ascii="Arial" w:hAnsi="Arial" w:cs="Arial"/>
          <w:b/>
          <w:color w:val="262626" w:themeColor="text1" w:themeTint="D9"/>
          <w:sz w:val="23"/>
          <w:szCs w:val="23"/>
        </w:rPr>
        <w:t xml:space="preserve">Coverage </w:t>
      </w:r>
      <w:r w:rsidR="00BB162E" w:rsidRPr="00DC7508">
        <w:rPr>
          <w:rFonts w:ascii="Arial" w:hAnsi="Arial" w:cs="Arial"/>
          <w:b/>
          <w:color w:val="262626" w:themeColor="text1" w:themeTint="D9"/>
          <w:sz w:val="23"/>
          <w:szCs w:val="23"/>
        </w:rPr>
        <w:t>O</w:t>
      </w:r>
      <w:r w:rsidRPr="00DC7508">
        <w:rPr>
          <w:rFonts w:ascii="Arial" w:hAnsi="Arial" w:cs="Arial"/>
          <w:b/>
          <w:color w:val="262626" w:themeColor="text1" w:themeTint="D9"/>
          <w:sz w:val="23"/>
          <w:szCs w:val="23"/>
        </w:rPr>
        <w:t xml:space="preserve">ptions </w:t>
      </w:r>
      <w:r w:rsidR="00BB162E" w:rsidRPr="00DC7508">
        <w:rPr>
          <w:rFonts w:ascii="Arial" w:hAnsi="Arial" w:cs="Arial"/>
          <w:b/>
          <w:color w:val="262626" w:themeColor="text1" w:themeTint="D9"/>
          <w:sz w:val="23"/>
          <w:szCs w:val="23"/>
        </w:rPr>
        <w:t>A</w:t>
      </w:r>
      <w:r w:rsidRPr="00DC7508">
        <w:rPr>
          <w:rFonts w:ascii="Arial" w:hAnsi="Arial" w:cs="Arial"/>
          <w:b/>
          <w:color w:val="262626" w:themeColor="text1" w:themeTint="D9"/>
          <w:sz w:val="23"/>
          <w:szCs w:val="23"/>
        </w:rPr>
        <w:t>vailabl</w:t>
      </w:r>
      <w:r w:rsidR="00BB162E" w:rsidRPr="00DC7508">
        <w:rPr>
          <w:rFonts w:ascii="Arial" w:hAnsi="Arial" w:cs="Arial"/>
          <w:b/>
          <w:color w:val="262626" w:themeColor="text1" w:themeTint="D9"/>
          <w:sz w:val="23"/>
          <w:szCs w:val="23"/>
        </w:rPr>
        <w:t>e</w:t>
      </w:r>
    </w:p>
    <w:p w14:paraId="26C6877D" w14:textId="57278DA1" w:rsidR="00BB162E" w:rsidRPr="00DC7508" w:rsidRDefault="00BB162E" w:rsidP="006F2216">
      <w:pPr>
        <w:pStyle w:val="ListParagraph"/>
        <w:numPr>
          <w:ilvl w:val="0"/>
          <w:numId w:val="2"/>
        </w:numPr>
        <w:spacing w:after="0" w:line="276" w:lineRule="auto"/>
        <w:contextualSpacing w:val="0"/>
        <w:rPr>
          <w:rFonts w:ascii="Arial" w:eastAsia="Times New Roman" w:hAnsi="Arial" w:cs="Arial"/>
          <w:color w:val="262626" w:themeColor="text1" w:themeTint="D9"/>
          <w:sz w:val="23"/>
          <w:szCs w:val="23"/>
        </w:rPr>
      </w:pPr>
      <w:proofErr w:type="spellStart"/>
      <w:r w:rsidRPr="00DC7508">
        <w:rPr>
          <w:rFonts w:ascii="Arial" w:eastAsia="Times New Roman" w:hAnsi="Arial" w:cs="Arial"/>
          <w:color w:val="262626" w:themeColor="text1" w:themeTint="D9"/>
          <w:sz w:val="23"/>
          <w:szCs w:val="23"/>
        </w:rPr>
        <w:t>HealthChoice</w:t>
      </w:r>
      <w:proofErr w:type="spellEnd"/>
      <w:r w:rsidRPr="00DC7508">
        <w:rPr>
          <w:rFonts w:ascii="Arial" w:eastAsia="Times New Roman" w:hAnsi="Arial" w:cs="Arial"/>
          <w:color w:val="262626" w:themeColor="text1" w:themeTint="D9"/>
          <w:sz w:val="23"/>
          <w:szCs w:val="23"/>
        </w:rPr>
        <w:t xml:space="preserve"> coverage details:</w:t>
      </w:r>
    </w:p>
    <w:p w14:paraId="27D94D97" w14:textId="791272E2" w:rsidR="006F2216" w:rsidRPr="00DC7508" w:rsidRDefault="006F2216" w:rsidP="00BB162E">
      <w:pPr>
        <w:pStyle w:val="ListParagraph"/>
        <w:numPr>
          <w:ilvl w:val="1"/>
          <w:numId w:val="2"/>
        </w:numPr>
        <w:spacing w:after="0" w:line="276" w:lineRule="auto"/>
        <w:contextualSpacing w:val="0"/>
        <w:rPr>
          <w:rFonts w:ascii="Arial" w:eastAsia="Times New Roman" w:hAnsi="Arial" w:cs="Arial"/>
          <w:color w:val="262626" w:themeColor="text1" w:themeTint="D9"/>
          <w:sz w:val="23"/>
          <w:szCs w:val="23"/>
        </w:rPr>
      </w:pPr>
      <w:r w:rsidRPr="00DC7508">
        <w:rPr>
          <w:rFonts w:ascii="Arial" w:eastAsia="Times New Roman" w:hAnsi="Arial" w:cs="Arial"/>
          <w:color w:val="262626" w:themeColor="text1" w:themeTint="D9"/>
          <w:sz w:val="23"/>
          <w:szCs w:val="23"/>
        </w:rPr>
        <w:t xml:space="preserve">PTSD is a diagnosis and would be covered under our </w:t>
      </w:r>
      <w:r w:rsidR="00DC7508" w:rsidRPr="00DC7508">
        <w:rPr>
          <w:rFonts w:ascii="Arial" w:eastAsia="Times New Roman" w:hAnsi="Arial" w:cs="Arial"/>
          <w:color w:val="262626" w:themeColor="text1" w:themeTint="D9"/>
          <w:sz w:val="23"/>
          <w:szCs w:val="23"/>
        </w:rPr>
        <w:t>mental</w:t>
      </w:r>
      <w:r w:rsidRPr="00DC7508">
        <w:rPr>
          <w:rFonts w:ascii="Arial" w:eastAsia="Times New Roman" w:hAnsi="Arial" w:cs="Arial"/>
          <w:color w:val="262626" w:themeColor="text1" w:themeTint="D9"/>
          <w:sz w:val="23"/>
          <w:szCs w:val="23"/>
        </w:rPr>
        <w:t xml:space="preserve"> health</w:t>
      </w:r>
      <w:r w:rsidR="00DC7508" w:rsidRPr="00DC7508">
        <w:rPr>
          <w:rFonts w:ascii="Arial" w:eastAsia="Times New Roman" w:hAnsi="Arial" w:cs="Arial"/>
          <w:color w:val="262626" w:themeColor="text1" w:themeTint="D9"/>
          <w:sz w:val="23"/>
          <w:szCs w:val="23"/>
        </w:rPr>
        <w:t xml:space="preserve"> </w:t>
      </w:r>
      <w:r w:rsidRPr="00DC7508">
        <w:rPr>
          <w:rFonts w:ascii="Arial" w:eastAsia="Times New Roman" w:hAnsi="Arial" w:cs="Arial"/>
          <w:color w:val="262626" w:themeColor="text1" w:themeTint="D9"/>
          <w:sz w:val="23"/>
          <w:szCs w:val="23"/>
        </w:rPr>
        <w:t xml:space="preserve">benefits.  </w:t>
      </w:r>
      <w:proofErr w:type="spellStart"/>
      <w:r w:rsidRPr="00DC7508">
        <w:rPr>
          <w:rFonts w:ascii="Arial" w:eastAsia="Times New Roman" w:hAnsi="Arial" w:cs="Arial"/>
          <w:color w:val="262626" w:themeColor="text1" w:themeTint="D9"/>
          <w:sz w:val="23"/>
          <w:szCs w:val="23"/>
        </w:rPr>
        <w:t>HealthChoice</w:t>
      </w:r>
      <w:proofErr w:type="spellEnd"/>
      <w:r w:rsidRPr="00DC7508">
        <w:rPr>
          <w:rFonts w:ascii="Arial" w:eastAsia="Times New Roman" w:hAnsi="Arial" w:cs="Arial"/>
          <w:color w:val="262626" w:themeColor="text1" w:themeTint="D9"/>
          <w:sz w:val="23"/>
          <w:szCs w:val="23"/>
        </w:rPr>
        <w:t xml:space="preserve"> covers services for outpatient visits, intensive outpatient, partial </w:t>
      </w:r>
      <w:proofErr w:type="gramStart"/>
      <w:r w:rsidRPr="00DC7508">
        <w:rPr>
          <w:rFonts w:ascii="Arial" w:eastAsia="Times New Roman" w:hAnsi="Arial" w:cs="Arial"/>
          <w:color w:val="262626" w:themeColor="text1" w:themeTint="D9"/>
          <w:sz w:val="23"/>
          <w:szCs w:val="23"/>
        </w:rPr>
        <w:t>hospital</w:t>
      </w:r>
      <w:proofErr w:type="gramEnd"/>
      <w:r w:rsidRPr="00DC7508">
        <w:rPr>
          <w:rFonts w:ascii="Arial" w:eastAsia="Times New Roman" w:hAnsi="Arial" w:cs="Arial"/>
          <w:color w:val="262626" w:themeColor="text1" w:themeTint="D9"/>
          <w:sz w:val="23"/>
          <w:szCs w:val="23"/>
        </w:rPr>
        <w:t xml:space="preserve"> and inpatient admissions.</w:t>
      </w:r>
    </w:p>
    <w:p w14:paraId="568273B2" w14:textId="07604806" w:rsidR="006F2216" w:rsidRPr="00DC7508" w:rsidRDefault="006F2216" w:rsidP="00BB162E">
      <w:pPr>
        <w:pStyle w:val="ListParagraph"/>
        <w:numPr>
          <w:ilvl w:val="1"/>
          <w:numId w:val="2"/>
        </w:numPr>
        <w:spacing w:after="0" w:line="276" w:lineRule="auto"/>
        <w:contextualSpacing w:val="0"/>
        <w:rPr>
          <w:rFonts w:ascii="Arial" w:eastAsia="Times New Roman" w:hAnsi="Arial" w:cs="Arial"/>
          <w:color w:val="262626" w:themeColor="text1" w:themeTint="D9"/>
          <w:sz w:val="23"/>
          <w:szCs w:val="23"/>
        </w:rPr>
      </w:pPr>
      <w:r w:rsidRPr="00DC7508">
        <w:rPr>
          <w:rFonts w:ascii="Arial" w:eastAsia="Times New Roman" w:hAnsi="Arial" w:cs="Arial"/>
          <w:color w:val="262626" w:themeColor="text1" w:themeTint="D9"/>
          <w:sz w:val="23"/>
          <w:szCs w:val="23"/>
        </w:rPr>
        <w:t xml:space="preserve">There is no limit placed on these services. Like any </w:t>
      </w:r>
      <w:r w:rsidR="00DC7508">
        <w:rPr>
          <w:rFonts w:ascii="Arial" w:eastAsia="Times New Roman" w:hAnsi="Arial" w:cs="Arial"/>
          <w:color w:val="262626" w:themeColor="text1" w:themeTint="D9"/>
          <w:sz w:val="23"/>
          <w:szCs w:val="23"/>
        </w:rPr>
        <w:t>mental</w:t>
      </w:r>
      <w:r w:rsidRPr="00DC7508">
        <w:rPr>
          <w:rFonts w:ascii="Arial" w:eastAsia="Times New Roman" w:hAnsi="Arial" w:cs="Arial"/>
          <w:color w:val="262626" w:themeColor="text1" w:themeTint="D9"/>
          <w:sz w:val="23"/>
          <w:szCs w:val="23"/>
        </w:rPr>
        <w:t xml:space="preserve"> health diagnosis, a member can utilize 20 outpatient visits per year without a prior authorization and after the 20</w:t>
      </w:r>
      <w:r w:rsidRPr="00DC7508">
        <w:rPr>
          <w:rFonts w:ascii="Arial" w:eastAsia="Times New Roman" w:hAnsi="Arial" w:cs="Arial"/>
          <w:color w:val="262626" w:themeColor="text1" w:themeTint="D9"/>
          <w:sz w:val="23"/>
          <w:szCs w:val="23"/>
          <w:vertAlign w:val="superscript"/>
        </w:rPr>
        <w:t>th</w:t>
      </w:r>
      <w:r w:rsidRPr="00DC7508">
        <w:rPr>
          <w:rFonts w:ascii="Arial" w:eastAsia="Times New Roman" w:hAnsi="Arial" w:cs="Arial"/>
          <w:color w:val="262626" w:themeColor="text1" w:themeTint="D9"/>
          <w:sz w:val="23"/>
          <w:szCs w:val="23"/>
        </w:rPr>
        <w:t xml:space="preserve"> visit a prior authorization would be required.  All other services, such as intensive outpatient or an admission would require prior authorization.</w:t>
      </w:r>
    </w:p>
    <w:p w14:paraId="50D60553" w14:textId="20B268A8" w:rsidR="006F2216" w:rsidRPr="00DC7508" w:rsidRDefault="006F2216" w:rsidP="00BB162E">
      <w:pPr>
        <w:pStyle w:val="ListParagraph"/>
        <w:numPr>
          <w:ilvl w:val="1"/>
          <w:numId w:val="2"/>
        </w:numPr>
        <w:spacing w:after="0" w:line="276" w:lineRule="auto"/>
        <w:contextualSpacing w:val="0"/>
        <w:rPr>
          <w:rFonts w:ascii="Arial" w:eastAsia="Times New Roman" w:hAnsi="Arial" w:cs="Arial"/>
          <w:color w:val="262626" w:themeColor="text1" w:themeTint="D9"/>
          <w:sz w:val="23"/>
          <w:szCs w:val="23"/>
        </w:rPr>
      </w:pPr>
      <w:r w:rsidRPr="00DC7508">
        <w:rPr>
          <w:rFonts w:ascii="Arial" w:eastAsia="Times New Roman" w:hAnsi="Arial" w:cs="Arial"/>
          <w:color w:val="262626" w:themeColor="text1" w:themeTint="D9"/>
          <w:sz w:val="23"/>
          <w:szCs w:val="23"/>
        </w:rPr>
        <w:t xml:space="preserve">Most, if not all, of the drugs used to cover PTSD are covered and available as the generic. First line agents, antidepressants are recommended, brand names Zoloft, Prozac, Paxil, again, available in generic forms. Benzodiazepines, such as Ativan and Valium, are also generic, but </w:t>
      </w:r>
      <w:r w:rsidRPr="00DC7508">
        <w:rPr>
          <w:rFonts w:ascii="Arial" w:eastAsia="Times New Roman" w:hAnsi="Arial" w:cs="Arial"/>
          <w:color w:val="262626" w:themeColor="text1" w:themeTint="D9"/>
          <w:sz w:val="23"/>
          <w:szCs w:val="23"/>
          <w:u w:val="single"/>
        </w:rPr>
        <w:t>not</w:t>
      </w:r>
      <w:r w:rsidRPr="00DC7508">
        <w:rPr>
          <w:rFonts w:ascii="Arial" w:eastAsia="Times New Roman" w:hAnsi="Arial" w:cs="Arial"/>
          <w:color w:val="262626" w:themeColor="text1" w:themeTint="D9"/>
          <w:sz w:val="23"/>
          <w:szCs w:val="23"/>
        </w:rPr>
        <w:t xml:space="preserve"> recommended for PTSD anymore. There may be some </w:t>
      </w:r>
      <w:r w:rsidRPr="00DC7508">
        <w:rPr>
          <w:rFonts w:ascii="Arial" w:eastAsia="Times New Roman" w:hAnsi="Arial" w:cs="Arial"/>
          <w:i/>
          <w:iCs/>
          <w:color w:val="262626" w:themeColor="text1" w:themeTint="D9"/>
          <w:sz w:val="23"/>
          <w:szCs w:val="23"/>
        </w:rPr>
        <w:t>off label</w:t>
      </w:r>
      <w:r w:rsidRPr="00DC7508">
        <w:rPr>
          <w:rFonts w:ascii="Arial" w:eastAsia="Times New Roman" w:hAnsi="Arial" w:cs="Arial"/>
          <w:color w:val="262626" w:themeColor="text1" w:themeTint="D9"/>
          <w:sz w:val="23"/>
          <w:szCs w:val="23"/>
        </w:rPr>
        <w:t xml:space="preserve"> use of drugs for PTSD, and those are generally found in generic form as well. </w:t>
      </w:r>
    </w:p>
    <w:p w14:paraId="5C4EE7A8" w14:textId="0F793371" w:rsidR="00BB162E" w:rsidRPr="00DC7508" w:rsidRDefault="00BB162E" w:rsidP="00BB162E">
      <w:pPr>
        <w:pStyle w:val="ListParagraph"/>
        <w:numPr>
          <w:ilvl w:val="0"/>
          <w:numId w:val="2"/>
        </w:numPr>
        <w:spacing w:after="0" w:line="276" w:lineRule="auto"/>
        <w:contextualSpacing w:val="0"/>
        <w:rPr>
          <w:rFonts w:ascii="Arial" w:eastAsia="Times New Roman" w:hAnsi="Arial" w:cs="Arial"/>
          <w:color w:val="262626" w:themeColor="text1" w:themeTint="D9"/>
          <w:sz w:val="23"/>
          <w:szCs w:val="23"/>
        </w:rPr>
      </w:pPr>
      <w:r w:rsidRPr="00DC7508">
        <w:rPr>
          <w:rFonts w:ascii="Arial" w:eastAsia="Times New Roman" w:hAnsi="Arial" w:cs="Arial"/>
          <w:color w:val="262626" w:themeColor="text1" w:themeTint="D9"/>
          <w:sz w:val="23"/>
          <w:szCs w:val="23"/>
        </w:rPr>
        <w:t>Other coverages offered to state employees:</w:t>
      </w:r>
    </w:p>
    <w:p w14:paraId="18B47E0C" w14:textId="35EDCEB4" w:rsidR="006F2216" w:rsidRPr="00DC7508" w:rsidRDefault="006F2216" w:rsidP="006F2216">
      <w:pPr>
        <w:spacing w:after="0" w:line="276" w:lineRule="auto"/>
        <w:rPr>
          <w:rFonts w:ascii="Arial" w:eastAsia="Times New Roman" w:hAnsi="Arial" w:cs="Arial"/>
          <w:color w:val="262626" w:themeColor="text1" w:themeTint="D9"/>
          <w:sz w:val="23"/>
          <w:szCs w:val="23"/>
        </w:rPr>
      </w:pPr>
      <w:r w:rsidRPr="00DC7508">
        <w:rPr>
          <w:rFonts w:ascii="Arial" w:hAnsi="Arial" w:cs="Arial"/>
          <w:noProof/>
          <w:color w:val="262626" w:themeColor="text1" w:themeTint="D9"/>
          <w:sz w:val="23"/>
          <w:szCs w:val="23"/>
        </w:rPr>
        <w:drawing>
          <wp:anchor distT="0" distB="0" distL="114300" distR="114300" simplePos="0" relativeHeight="251658240" behindDoc="0" locked="0" layoutInCell="1" allowOverlap="1" wp14:anchorId="01DC93BA" wp14:editId="0B1064B5">
            <wp:simplePos x="0" y="0"/>
            <wp:positionH relativeFrom="column">
              <wp:posOffset>28575</wp:posOffset>
            </wp:positionH>
            <wp:positionV relativeFrom="paragraph">
              <wp:posOffset>104140</wp:posOffset>
            </wp:positionV>
            <wp:extent cx="6858000" cy="1374140"/>
            <wp:effectExtent l="0" t="0" r="0" b="0"/>
            <wp:wrapNone/>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858000" cy="1374140"/>
                    </a:xfrm>
                    <a:prstGeom prst="rect">
                      <a:avLst/>
                    </a:prstGeom>
                  </pic:spPr>
                </pic:pic>
              </a:graphicData>
            </a:graphic>
            <wp14:sizeRelH relativeFrom="page">
              <wp14:pctWidth>0</wp14:pctWidth>
            </wp14:sizeRelH>
            <wp14:sizeRelV relativeFrom="page">
              <wp14:pctHeight>0</wp14:pctHeight>
            </wp14:sizeRelV>
          </wp:anchor>
        </w:drawing>
      </w:r>
    </w:p>
    <w:p w14:paraId="36822ACD" w14:textId="73A6743E" w:rsidR="006F2216" w:rsidRPr="00DC7508" w:rsidRDefault="006F2216" w:rsidP="006F2216">
      <w:pPr>
        <w:spacing w:after="0" w:line="276" w:lineRule="auto"/>
        <w:rPr>
          <w:rFonts w:ascii="Arial" w:eastAsia="Times New Roman" w:hAnsi="Arial" w:cs="Arial"/>
          <w:color w:val="262626" w:themeColor="text1" w:themeTint="D9"/>
          <w:sz w:val="23"/>
          <w:szCs w:val="23"/>
        </w:rPr>
      </w:pPr>
    </w:p>
    <w:p w14:paraId="28AC0254" w14:textId="5A4CC958" w:rsidR="006F2216" w:rsidRPr="00DC7508" w:rsidRDefault="006F2216" w:rsidP="006F2216">
      <w:pPr>
        <w:spacing w:after="0" w:line="276" w:lineRule="auto"/>
        <w:rPr>
          <w:rFonts w:ascii="Arial" w:eastAsia="Times New Roman" w:hAnsi="Arial" w:cs="Arial"/>
          <w:color w:val="262626" w:themeColor="text1" w:themeTint="D9"/>
          <w:sz w:val="23"/>
          <w:szCs w:val="23"/>
        </w:rPr>
      </w:pPr>
    </w:p>
    <w:p w14:paraId="7F41C845" w14:textId="56632E23" w:rsidR="006F2216" w:rsidRPr="00DC7508" w:rsidRDefault="006F2216" w:rsidP="006F2216">
      <w:pPr>
        <w:spacing w:after="0" w:line="276" w:lineRule="auto"/>
        <w:rPr>
          <w:rFonts w:ascii="Arial" w:eastAsia="Times New Roman" w:hAnsi="Arial" w:cs="Arial"/>
          <w:color w:val="262626" w:themeColor="text1" w:themeTint="D9"/>
          <w:sz w:val="23"/>
          <w:szCs w:val="23"/>
        </w:rPr>
      </w:pPr>
    </w:p>
    <w:p w14:paraId="0A34C31A" w14:textId="77777777" w:rsidR="006F2216" w:rsidRPr="00DC7508" w:rsidRDefault="006F2216" w:rsidP="006F2216">
      <w:pPr>
        <w:spacing w:after="0" w:line="276" w:lineRule="auto"/>
        <w:rPr>
          <w:rFonts w:ascii="Arial" w:eastAsia="Times New Roman" w:hAnsi="Arial" w:cs="Arial"/>
          <w:color w:val="262626" w:themeColor="text1" w:themeTint="D9"/>
          <w:sz w:val="23"/>
          <w:szCs w:val="23"/>
        </w:rPr>
      </w:pPr>
    </w:p>
    <w:p w14:paraId="1F2EBFD4" w14:textId="237E627A" w:rsidR="006F2216" w:rsidRPr="00DC7508" w:rsidRDefault="006F2216" w:rsidP="006F2216">
      <w:pPr>
        <w:spacing w:after="0" w:line="276" w:lineRule="auto"/>
        <w:rPr>
          <w:rFonts w:ascii="Arial" w:eastAsia="Times New Roman" w:hAnsi="Arial" w:cs="Arial"/>
          <w:color w:val="262626" w:themeColor="text1" w:themeTint="D9"/>
          <w:sz w:val="23"/>
          <w:szCs w:val="23"/>
        </w:rPr>
      </w:pPr>
    </w:p>
    <w:p w14:paraId="5A1688A0" w14:textId="32A47DBC" w:rsidR="006F2216" w:rsidRPr="00DC7508" w:rsidRDefault="006F2216" w:rsidP="006F2216">
      <w:pPr>
        <w:pStyle w:val="ListParagraph"/>
        <w:spacing w:after="0" w:line="276" w:lineRule="auto"/>
        <w:contextualSpacing w:val="0"/>
        <w:rPr>
          <w:rFonts w:ascii="Arial" w:eastAsia="Times New Roman" w:hAnsi="Arial" w:cs="Arial"/>
          <w:color w:val="262626" w:themeColor="text1" w:themeTint="D9"/>
          <w:sz w:val="23"/>
          <w:szCs w:val="23"/>
        </w:rPr>
      </w:pPr>
    </w:p>
    <w:p w14:paraId="0F25412B" w14:textId="3C7E1E15" w:rsidR="00104002" w:rsidRPr="00DC7508" w:rsidRDefault="00104002" w:rsidP="006F2216">
      <w:pPr>
        <w:spacing w:line="276" w:lineRule="auto"/>
        <w:ind w:firstLine="60"/>
        <w:contextualSpacing/>
        <w:rPr>
          <w:rFonts w:ascii="Arial" w:hAnsi="Arial" w:cs="Arial"/>
          <w:color w:val="262626" w:themeColor="text1" w:themeTint="D9"/>
          <w:sz w:val="23"/>
          <w:szCs w:val="23"/>
        </w:rPr>
      </w:pPr>
    </w:p>
    <w:p w14:paraId="00E82BBB" w14:textId="77777777" w:rsidR="00AC6884" w:rsidRPr="00DC7508" w:rsidRDefault="00AC6884" w:rsidP="006F2216">
      <w:pPr>
        <w:spacing w:line="276" w:lineRule="auto"/>
        <w:rPr>
          <w:rFonts w:ascii="Arial" w:hAnsi="Arial" w:cs="Arial"/>
          <w:b/>
          <w:color w:val="262626" w:themeColor="text1" w:themeTint="D9"/>
          <w:sz w:val="23"/>
          <w:szCs w:val="23"/>
        </w:rPr>
      </w:pPr>
    </w:p>
    <w:p w14:paraId="4C468007" w14:textId="142FCC5B" w:rsidR="006F2216" w:rsidRPr="00DC7508" w:rsidRDefault="006F2216" w:rsidP="006F2216">
      <w:pPr>
        <w:spacing w:line="276" w:lineRule="auto"/>
        <w:rPr>
          <w:rFonts w:ascii="Arial" w:hAnsi="Arial" w:cs="Arial"/>
          <w:b/>
          <w:color w:val="262626" w:themeColor="text1" w:themeTint="D9"/>
          <w:sz w:val="23"/>
          <w:szCs w:val="23"/>
        </w:rPr>
      </w:pPr>
      <w:proofErr w:type="spellStart"/>
      <w:r w:rsidRPr="00DC7508">
        <w:rPr>
          <w:rFonts w:ascii="Arial" w:hAnsi="Arial" w:cs="Arial"/>
          <w:b/>
          <w:color w:val="262626" w:themeColor="text1" w:themeTint="D9"/>
          <w:sz w:val="23"/>
          <w:szCs w:val="23"/>
        </w:rPr>
        <w:t>HealthChoice</w:t>
      </w:r>
      <w:proofErr w:type="spellEnd"/>
      <w:r w:rsidRPr="00DC7508">
        <w:rPr>
          <w:rFonts w:ascii="Arial" w:hAnsi="Arial" w:cs="Arial"/>
          <w:b/>
          <w:color w:val="262626" w:themeColor="text1" w:themeTint="D9"/>
          <w:sz w:val="23"/>
          <w:szCs w:val="23"/>
        </w:rPr>
        <w:t xml:space="preserve"> </w:t>
      </w:r>
      <w:r w:rsidR="00BB162E" w:rsidRPr="00DC7508">
        <w:rPr>
          <w:rFonts w:ascii="Arial" w:hAnsi="Arial" w:cs="Arial"/>
          <w:b/>
          <w:color w:val="262626" w:themeColor="text1" w:themeTint="D9"/>
          <w:sz w:val="23"/>
          <w:szCs w:val="23"/>
        </w:rPr>
        <w:t>A</w:t>
      </w:r>
      <w:r w:rsidRPr="00DC7508">
        <w:rPr>
          <w:rFonts w:ascii="Arial" w:hAnsi="Arial" w:cs="Arial"/>
          <w:b/>
          <w:color w:val="262626" w:themeColor="text1" w:themeTint="D9"/>
          <w:sz w:val="23"/>
          <w:szCs w:val="23"/>
        </w:rPr>
        <w:t xml:space="preserve">nnual </w:t>
      </w:r>
      <w:r w:rsidR="00BB162E" w:rsidRPr="00DC7508">
        <w:rPr>
          <w:rFonts w:ascii="Arial" w:hAnsi="Arial" w:cs="Arial"/>
          <w:b/>
          <w:color w:val="262626" w:themeColor="text1" w:themeTint="D9"/>
          <w:sz w:val="23"/>
          <w:szCs w:val="23"/>
        </w:rPr>
        <w:t>S</w:t>
      </w:r>
      <w:r w:rsidRPr="00DC7508">
        <w:rPr>
          <w:rFonts w:ascii="Arial" w:hAnsi="Arial" w:cs="Arial"/>
          <w:b/>
          <w:color w:val="262626" w:themeColor="text1" w:themeTint="D9"/>
          <w:sz w:val="23"/>
          <w:szCs w:val="23"/>
        </w:rPr>
        <w:t xml:space="preserve">pend on </w:t>
      </w:r>
      <w:r w:rsidR="00BB162E" w:rsidRPr="00DC7508">
        <w:rPr>
          <w:rFonts w:ascii="Arial" w:hAnsi="Arial" w:cs="Arial"/>
          <w:b/>
          <w:color w:val="262626" w:themeColor="text1" w:themeTint="D9"/>
          <w:sz w:val="23"/>
          <w:szCs w:val="23"/>
        </w:rPr>
        <w:t>M</w:t>
      </w:r>
      <w:r w:rsidRPr="00DC7508">
        <w:rPr>
          <w:rFonts w:ascii="Arial" w:hAnsi="Arial" w:cs="Arial"/>
          <w:b/>
          <w:color w:val="262626" w:themeColor="text1" w:themeTint="D9"/>
          <w:sz w:val="23"/>
          <w:szCs w:val="23"/>
        </w:rPr>
        <w:t xml:space="preserve">ental </w:t>
      </w:r>
      <w:r w:rsidR="00BB162E" w:rsidRPr="00DC7508">
        <w:rPr>
          <w:rFonts w:ascii="Arial" w:hAnsi="Arial" w:cs="Arial"/>
          <w:b/>
          <w:color w:val="262626" w:themeColor="text1" w:themeTint="D9"/>
          <w:sz w:val="23"/>
          <w:szCs w:val="23"/>
        </w:rPr>
        <w:t>H</w:t>
      </w:r>
      <w:r w:rsidRPr="00DC7508">
        <w:rPr>
          <w:rFonts w:ascii="Arial" w:hAnsi="Arial" w:cs="Arial"/>
          <w:b/>
          <w:color w:val="262626" w:themeColor="text1" w:themeTint="D9"/>
          <w:sz w:val="23"/>
          <w:szCs w:val="23"/>
        </w:rPr>
        <w:t xml:space="preserve">ealth </w:t>
      </w:r>
      <w:r w:rsidR="00BB162E" w:rsidRPr="00DC7508">
        <w:rPr>
          <w:rFonts w:ascii="Arial" w:hAnsi="Arial" w:cs="Arial"/>
          <w:b/>
          <w:color w:val="262626" w:themeColor="text1" w:themeTint="D9"/>
          <w:sz w:val="23"/>
          <w:szCs w:val="23"/>
        </w:rPr>
        <w:t>C</w:t>
      </w:r>
      <w:r w:rsidRPr="00DC7508">
        <w:rPr>
          <w:rFonts w:ascii="Arial" w:hAnsi="Arial" w:cs="Arial"/>
          <w:b/>
          <w:color w:val="262626" w:themeColor="text1" w:themeTint="D9"/>
          <w:sz w:val="23"/>
          <w:szCs w:val="23"/>
        </w:rPr>
        <w:t>overage</w:t>
      </w:r>
    </w:p>
    <w:p w14:paraId="31BA1F10" w14:textId="4B99A150" w:rsidR="006F2216" w:rsidRPr="00DC7508" w:rsidRDefault="006F2216" w:rsidP="006F2216">
      <w:pPr>
        <w:pStyle w:val="ListParagraph"/>
        <w:numPr>
          <w:ilvl w:val="0"/>
          <w:numId w:val="10"/>
        </w:numPr>
        <w:spacing w:line="276" w:lineRule="auto"/>
        <w:rPr>
          <w:rFonts w:ascii="Arial" w:hAnsi="Arial" w:cs="Arial"/>
          <w:color w:val="262626" w:themeColor="text1" w:themeTint="D9"/>
          <w:sz w:val="23"/>
          <w:szCs w:val="23"/>
        </w:rPr>
      </w:pPr>
      <w:r w:rsidRPr="00DC7508">
        <w:rPr>
          <w:rFonts w:ascii="Arial" w:hAnsi="Arial" w:cs="Arial"/>
          <w:color w:val="262626" w:themeColor="text1" w:themeTint="D9"/>
          <w:sz w:val="23"/>
          <w:szCs w:val="23"/>
        </w:rPr>
        <w:t xml:space="preserve">For Mental Health and Substance Abuse services for the </w:t>
      </w:r>
      <w:r w:rsidRPr="00DC7508">
        <w:rPr>
          <w:rFonts w:ascii="Arial" w:hAnsi="Arial" w:cs="Arial"/>
          <w:color w:val="262626" w:themeColor="text1" w:themeTint="D9"/>
          <w:sz w:val="23"/>
          <w:szCs w:val="23"/>
        </w:rPr>
        <w:t>a</w:t>
      </w:r>
      <w:r w:rsidRPr="00DC7508">
        <w:rPr>
          <w:rFonts w:ascii="Arial" w:hAnsi="Arial" w:cs="Arial"/>
          <w:color w:val="262626" w:themeColor="text1" w:themeTint="D9"/>
          <w:sz w:val="23"/>
          <w:szCs w:val="23"/>
        </w:rPr>
        <w:t>ctive and pre-Medicare population, the plan spends a little over $20 million per year for services provided by facilities and medical professionals.  Additionally, the plan spends around $10 million per year on the pharmacy side for behavioral health medications including antidepressants and benzodiazepines</w:t>
      </w:r>
      <w:r w:rsidRPr="00DC7508">
        <w:rPr>
          <w:rFonts w:ascii="Arial" w:hAnsi="Arial" w:cs="Arial"/>
          <w:color w:val="262626" w:themeColor="text1" w:themeTint="D9"/>
          <w:sz w:val="23"/>
          <w:szCs w:val="23"/>
        </w:rPr>
        <w:t>.</w:t>
      </w:r>
    </w:p>
    <w:sectPr w:rsidR="006F2216" w:rsidRPr="00DC7508" w:rsidSect="004C0D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195pt;height:200.25pt" o:bullet="t">
        <v:imagedata r:id="rId1" o:title="OK_Chevron_PrairieGold_RGB (002)"/>
      </v:shape>
    </w:pict>
  </w:numPicBullet>
  <w:abstractNum w:abstractNumId="0" w15:restartNumberingAfterBreak="0">
    <w:nsid w:val="0D040859"/>
    <w:multiLevelType w:val="hybridMultilevel"/>
    <w:tmpl w:val="E4067D6E"/>
    <w:lvl w:ilvl="0" w:tplc="F710D126">
      <w:start w:val="1"/>
      <w:numFmt w:val="bullet"/>
      <w:lvlText w:val=""/>
      <w:lvlPicBulletId w:val="0"/>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F2ED8"/>
    <w:multiLevelType w:val="hybridMultilevel"/>
    <w:tmpl w:val="91F84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A016CB"/>
    <w:multiLevelType w:val="hybridMultilevel"/>
    <w:tmpl w:val="4C86FFEE"/>
    <w:lvl w:ilvl="0" w:tplc="F710D12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50D13"/>
    <w:multiLevelType w:val="hybridMultilevel"/>
    <w:tmpl w:val="71C05BAE"/>
    <w:lvl w:ilvl="0" w:tplc="F710D12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67CB4"/>
    <w:multiLevelType w:val="hybridMultilevel"/>
    <w:tmpl w:val="16DEBBBC"/>
    <w:lvl w:ilvl="0" w:tplc="45B22446">
      <w:start w:val="90"/>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57326CF9"/>
    <w:multiLevelType w:val="hybridMultilevel"/>
    <w:tmpl w:val="D864FBC8"/>
    <w:lvl w:ilvl="0" w:tplc="F710D12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7A2537"/>
    <w:multiLevelType w:val="hybridMultilevel"/>
    <w:tmpl w:val="B16637FA"/>
    <w:lvl w:ilvl="0" w:tplc="F710D12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07DE7"/>
    <w:multiLevelType w:val="hybridMultilevel"/>
    <w:tmpl w:val="B07642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D727C7"/>
    <w:multiLevelType w:val="hybridMultilevel"/>
    <w:tmpl w:val="7C7E5468"/>
    <w:lvl w:ilvl="0" w:tplc="F710D126">
      <w:start w:val="1"/>
      <w:numFmt w:val="bullet"/>
      <w:lvlText w:val=""/>
      <w:lvlPicBulletId w:val="0"/>
      <w:lvlJc w:val="left"/>
      <w:pPr>
        <w:ind w:left="720" w:hanging="360"/>
      </w:pPr>
      <w:rPr>
        <w:rFonts w:ascii="Symbol" w:hAnsi="Symbol" w:hint="default"/>
        <w:color w:val="auto"/>
      </w:rPr>
    </w:lvl>
    <w:lvl w:ilvl="1" w:tplc="7FF68E90">
      <w:start w:val="17"/>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6E1485"/>
    <w:multiLevelType w:val="hybridMultilevel"/>
    <w:tmpl w:val="E576A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5"/>
  </w:num>
  <w:num w:numId="5">
    <w:abstractNumId w:val="7"/>
  </w:num>
  <w:num w:numId="6">
    <w:abstractNumId w:val="6"/>
  </w:num>
  <w:num w:numId="7">
    <w:abstractNumId w:val="8"/>
  </w:num>
  <w:num w:numId="8">
    <w:abstractNumId w:val="0"/>
  </w:num>
  <w:num w:numId="9">
    <w:abstractNumId w:val="1"/>
    <w:lvlOverride w:ilvl="0"/>
    <w:lvlOverride w:ilvl="1"/>
    <w:lvlOverride w:ilvl="2"/>
    <w:lvlOverride w:ilvl="3"/>
    <w:lvlOverride w:ilvl="4"/>
    <w:lvlOverride w:ilvl="5"/>
    <w:lvlOverride w:ilvl="6"/>
    <w:lvlOverride w:ilvl="7"/>
    <w:lvlOverride w:ilv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BD"/>
    <w:rsid w:val="000153C2"/>
    <w:rsid w:val="00031F7B"/>
    <w:rsid w:val="00035BCE"/>
    <w:rsid w:val="000413B0"/>
    <w:rsid w:val="0006063C"/>
    <w:rsid w:val="00066AD4"/>
    <w:rsid w:val="0009427C"/>
    <w:rsid w:val="000B28D6"/>
    <w:rsid w:val="000B3B52"/>
    <w:rsid w:val="000C2C29"/>
    <w:rsid w:val="000C6A63"/>
    <w:rsid w:val="00104002"/>
    <w:rsid w:val="00157D2E"/>
    <w:rsid w:val="001773C2"/>
    <w:rsid w:val="00191980"/>
    <w:rsid w:val="001A6024"/>
    <w:rsid w:val="001D335B"/>
    <w:rsid w:val="001D484A"/>
    <w:rsid w:val="001D695A"/>
    <w:rsid w:val="001E4D96"/>
    <w:rsid w:val="001E4F05"/>
    <w:rsid w:val="00242BF8"/>
    <w:rsid w:val="002743D3"/>
    <w:rsid w:val="0029105D"/>
    <w:rsid w:val="002A448A"/>
    <w:rsid w:val="00307A8B"/>
    <w:rsid w:val="0034268D"/>
    <w:rsid w:val="00350B10"/>
    <w:rsid w:val="00354FFF"/>
    <w:rsid w:val="00380635"/>
    <w:rsid w:val="0038784F"/>
    <w:rsid w:val="003C381F"/>
    <w:rsid w:val="003E2390"/>
    <w:rsid w:val="003F0B37"/>
    <w:rsid w:val="00400E48"/>
    <w:rsid w:val="004605CC"/>
    <w:rsid w:val="004C0DCB"/>
    <w:rsid w:val="004E0B58"/>
    <w:rsid w:val="004F6DE5"/>
    <w:rsid w:val="00503641"/>
    <w:rsid w:val="00535551"/>
    <w:rsid w:val="00564AB3"/>
    <w:rsid w:val="005C4E4C"/>
    <w:rsid w:val="005D1201"/>
    <w:rsid w:val="005D6EA1"/>
    <w:rsid w:val="005E479B"/>
    <w:rsid w:val="005F0536"/>
    <w:rsid w:val="005F2B71"/>
    <w:rsid w:val="005F5884"/>
    <w:rsid w:val="006165AA"/>
    <w:rsid w:val="006328C3"/>
    <w:rsid w:val="00671842"/>
    <w:rsid w:val="00672A0F"/>
    <w:rsid w:val="006771F5"/>
    <w:rsid w:val="006B3D2E"/>
    <w:rsid w:val="006B4D7C"/>
    <w:rsid w:val="006C2B41"/>
    <w:rsid w:val="006D2FF2"/>
    <w:rsid w:val="006E0F53"/>
    <w:rsid w:val="006F2216"/>
    <w:rsid w:val="0073762A"/>
    <w:rsid w:val="007671B7"/>
    <w:rsid w:val="0077370C"/>
    <w:rsid w:val="00780326"/>
    <w:rsid w:val="00794DBD"/>
    <w:rsid w:val="007A2EDD"/>
    <w:rsid w:val="007A35B5"/>
    <w:rsid w:val="007B7322"/>
    <w:rsid w:val="0082692B"/>
    <w:rsid w:val="00854DC1"/>
    <w:rsid w:val="00876560"/>
    <w:rsid w:val="00880F1E"/>
    <w:rsid w:val="008819C3"/>
    <w:rsid w:val="008A7163"/>
    <w:rsid w:val="008B33A5"/>
    <w:rsid w:val="008F2EAB"/>
    <w:rsid w:val="00907B1C"/>
    <w:rsid w:val="00915E03"/>
    <w:rsid w:val="00957A73"/>
    <w:rsid w:val="00961FB0"/>
    <w:rsid w:val="00965612"/>
    <w:rsid w:val="009A449F"/>
    <w:rsid w:val="009F03C2"/>
    <w:rsid w:val="009F046F"/>
    <w:rsid w:val="009F38EA"/>
    <w:rsid w:val="009F5F59"/>
    <w:rsid w:val="009F68AE"/>
    <w:rsid w:val="00A22447"/>
    <w:rsid w:val="00A32768"/>
    <w:rsid w:val="00A50D03"/>
    <w:rsid w:val="00A53726"/>
    <w:rsid w:val="00A63D3B"/>
    <w:rsid w:val="00A717B8"/>
    <w:rsid w:val="00A73B1B"/>
    <w:rsid w:val="00A85BB2"/>
    <w:rsid w:val="00AA1A28"/>
    <w:rsid w:val="00AB56DB"/>
    <w:rsid w:val="00AC2B85"/>
    <w:rsid w:val="00AC35D5"/>
    <w:rsid w:val="00AC6884"/>
    <w:rsid w:val="00AD16D1"/>
    <w:rsid w:val="00B24339"/>
    <w:rsid w:val="00B63DEE"/>
    <w:rsid w:val="00B674CC"/>
    <w:rsid w:val="00B7086C"/>
    <w:rsid w:val="00B8187A"/>
    <w:rsid w:val="00B93A38"/>
    <w:rsid w:val="00BA030B"/>
    <w:rsid w:val="00BA613C"/>
    <w:rsid w:val="00BB162E"/>
    <w:rsid w:val="00BD04AB"/>
    <w:rsid w:val="00BD4B22"/>
    <w:rsid w:val="00BE3BDF"/>
    <w:rsid w:val="00C017A4"/>
    <w:rsid w:val="00C107CD"/>
    <w:rsid w:val="00C24AD8"/>
    <w:rsid w:val="00C63A8A"/>
    <w:rsid w:val="00C70BA8"/>
    <w:rsid w:val="00C751D2"/>
    <w:rsid w:val="00C7633A"/>
    <w:rsid w:val="00CD0225"/>
    <w:rsid w:val="00CD6498"/>
    <w:rsid w:val="00CF0389"/>
    <w:rsid w:val="00D12C61"/>
    <w:rsid w:val="00D417CE"/>
    <w:rsid w:val="00D51389"/>
    <w:rsid w:val="00D612DD"/>
    <w:rsid w:val="00D64194"/>
    <w:rsid w:val="00D73BC0"/>
    <w:rsid w:val="00D90722"/>
    <w:rsid w:val="00D948F9"/>
    <w:rsid w:val="00DB6006"/>
    <w:rsid w:val="00DB6E00"/>
    <w:rsid w:val="00DC7508"/>
    <w:rsid w:val="00DD0B8E"/>
    <w:rsid w:val="00DD70EC"/>
    <w:rsid w:val="00DE4085"/>
    <w:rsid w:val="00DF308A"/>
    <w:rsid w:val="00E30EC1"/>
    <w:rsid w:val="00E3686D"/>
    <w:rsid w:val="00E436EE"/>
    <w:rsid w:val="00E43866"/>
    <w:rsid w:val="00E661B4"/>
    <w:rsid w:val="00E67A9F"/>
    <w:rsid w:val="00E76628"/>
    <w:rsid w:val="00E8797B"/>
    <w:rsid w:val="00E91FA8"/>
    <w:rsid w:val="00E949A0"/>
    <w:rsid w:val="00EE354D"/>
    <w:rsid w:val="00EF6EF8"/>
    <w:rsid w:val="00EF72E5"/>
    <w:rsid w:val="00F0205C"/>
    <w:rsid w:val="00F02D28"/>
    <w:rsid w:val="00F051BE"/>
    <w:rsid w:val="00F44AD5"/>
    <w:rsid w:val="00F61A54"/>
    <w:rsid w:val="2AB8E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02F87"/>
  <w15:chartTrackingRefBased/>
  <w15:docId w15:val="{4EF69E22-E0E1-4715-924F-6DA48D69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B37"/>
    <w:pPr>
      <w:ind w:left="720"/>
      <w:contextualSpacing/>
    </w:pPr>
  </w:style>
  <w:style w:type="paragraph" w:styleId="NormalWeb">
    <w:name w:val="Normal (Web)"/>
    <w:basedOn w:val="Normal"/>
    <w:uiPriority w:val="99"/>
    <w:unhideWhenUsed/>
    <w:rsid w:val="001D33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DD0B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D0B8E"/>
  </w:style>
  <w:style w:type="character" w:customStyle="1" w:styleId="eop">
    <w:name w:val="eop"/>
    <w:basedOn w:val="DefaultParagraphFont"/>
    <w:rsid w:val="00DD0B8E"/>
  </w:style>
  <w:style w:type="table" w:styleId="TableGrid">
    <w:name w:val="Table Grid"/>
    <w:basedOn w:val="TableNormal"/>
    <w:uiPriority w:val="39"/>
    <w:rsid w:val="00BA6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38403">
      <w:bodyDiv w:val="1"/>
      <w:marLeft w:val="0"/>
      <w:marRight w:val="0"/>
      <w:marTop w:val="0"/>
      <w:marBottom w:val="0"/>
      <w:divBdr>
        <w:top w:val="none" w:sz="0" w:space="0" w:color="auto"/>
        <w:left w:val="none" w:sz="0" w:space="0" w:color="auto"/>
        <w:bottom w:val="none" w:sz="0" w:space="0" w:color="auto"/>
        <w:right w:val="none" w:sz="0" w:space="0" w:color="auto"/>
      </w:divBdr>
    </w:div>
    <w:div w:id="535000584">
      <w:bodyDiv w:val="1"/>
      <w:marLeft w:val="0"/>
      <w:marRight w:val="0"/>
      <w:marTop w:val="0"/>
      <w:marBottom w:val="0"/>
      <w:divBdr>
        <w:top w:val="none" w:sz="0" w:space="0" w:color="auto"/>
        <w:left w:val="none" w:sz="0" w:space="0" w:color="auto"/>
        <w:bottom w:val="none" w:sz="0" w:space="0" w:color="auto"/>
        <w:right w:val="none" w:sz="0" w:space="0" w:color="auto"/>
      </w:divBdr>
    </w:div>
    <w:div w:id="1128478273">
      <w:bodyDiv w:val="1"/>
      <w:marLeft w:val="0"/>
      <w:marRight w:val="0"/>
      <w:marTop w:val="0"/>
      <w:marBottom w:val="0"/>
      <w:divBdr>
        <w:top w:val="none" w:sz="0" w:space="0" w:color="auto"/>
        <w:left w:val="none" w:sz="0" w:space="0" w:color="auto"/>
        <w:bottom w:val="none" w:sz="0" w:space="0" w:color="auto"/>
        <w:right w:val="none" w:sz="0" w:space="0" w:color="auto"/>
      </w:divBdr>
    </w:div>
    <w:div w:id="20624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Plyushko</dc:creator>
  <cp:keywords/>
  <dc:description/>
  <cp:lastModifiedBy>Caden Cleveland</cp:lastModifiedBy>
  <cp:revision>4</cp:revision>
  <cp:lastPrinted>2022-10-11T20:53:00Z</cp:lastPrinted>
  <dcterms:created xsi:type="dcterms:W3CDTF">2022-10-11T20:50:00Z</dcterms:created>
  <dcterms:modified xsi:type="dcterms:W3CDTF">2022-10-11T21:13:00Z</dcterms:modified>
</cp:coreProperties>
</file>